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280" w:after="280"/>
        <w:rPr>
          <w:rFonts w:ascii="Times New Roman" w:hAnsi="Times New Roman" w:cs="Times New Roman"/>
        </w:rPr>
      </w:pPr>
      <w:r>
        <w:rPr>
          <w:rStyle w:val="Strong"/>
          <w:rFonts w:eastAsia="Times New Roman" w:cs="Times New Roman" w:ascii="Arial" w:hAnsi="Arial"/>
          <w:sz w:val="24"/>
          <w:szCs w:val="24"/>
          <w:lang w:eastAsia="pt-BR"/>
        </w:rPr>
        <w:t xml:space="preserve">INSTRUÇÃO NORMATIVA CONJUNTA Nº </w:t>
      </w:r>
      <w:r>
        <w:rPr>
          <w:rStyle w:val="Strong"/>
          <w:rFonts w:eastAsia="Times New Roman" w:cs="Times New Roman" w:ascii="Arial" w:hAnsi="Arial"/>
          <w:sz w:val="24"/>
          <w:szCs w:val="24"/>
          <w:lang w:eastAsia="pt-BR"/>
        </w:rPr>
        <w:t>002</w:t>
      </w:r>
      <w:r>
        <w:rPr>
          <w:rStyle w:val="Strong"/>
          <w:rFonts w:eastAsia="Times New Roman" w:cs="Times New Roman" w:ascii="Arial" w:hAnsi="Arial"/>
          <w:sz w:val="24"/>
          <w:szCs w:val="24"/>
          <w:lang w:eastAsia="pt-BR"/>
        </w:rPr>
        <w:t>/2025</w:t>
      </w:r>
    </w:p>
    <w:p>
      <w:pPr>
        <w:pStyle w:val="BodyText"/>
        <w:widowControl/>
        <w:bidi w:val="0"/>
        <w:spacing w:lineRule="auto" w:line="240" w:before="280" w:after="280"/>
        <w:ind w:hanging="0" w:left="2778" w:right="0"/>
        <w:jc w:val="both"/>
        <w:rPr>
          <w:rStyle w:val="Strong"/>
          <w:rFonts w:ascii="Arial" w:hAnsi="Arial"/>
          <w:sz w:val="22"/>
          <w:szCs w:val="22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BodyText"/>
        <w:widowControl/>
        <w:bidi w:val="0"/>
        <w:spacing w:lineRule="auto" w:line="240" w:before="280" w:after="280"/>
        <w:ind w:hanging="0" w:left="2778" w:right="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 xml:space="preserve">Dispõe sobre a obrigatoriedade de participação do BCPREVI nos processos judiciais que envolvam valores 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 xml:space="preserve">e verbas 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remuneratóri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a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 xml:space="preserve">s de servidores municipais, para fins de apuração e recolhimento das contribuições previdenciárias patronais, institui fluxo de controle e regularização de créditos anteriores. </w:t>
      </w:r>
    </w:p>
    <w:p>
      <w:pPr>
        <w:pStyle w:val="BodyText"/>
        <w:widowControl/>
        <w:bidi w:val="0"/>
        <w:spacing w:lineRule="auto" w:line="276" w:before="280" w:after="280"/>
        <w:ind w:hanging="0" w:left="0" w:right="0"/>
        <w:jc w:val="both"/>
        <w:rPr/>
      </w:pPr>
      <w:r>
        <w:rPr>
          <w:rStyle w:val="Strong"/>
          <w:rFonts w:eastAsia="Times New Roman" w:cs="Times New Roman" w:ascii="Arial" w:hAnsi="Arial"/>
          <w:b/>
          <w:bCs/>
          <w:sz w:val="22"/>
          <w:szCs w:val="22"/>
          <w:lang w:eastAsia="pt-BR"/>
        </w:rPr>
        <w:t>João Olindino Koeddermann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, Diretor-Presidente do Instituto de Previdência Social dos Servidores Públicos do Município de Balneário Camboriú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– BCPREVI,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nomeado por meio da Portaria n. 32.156/2025, de 02 de janeiro de 2025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, no uso de suas atribuições legais e regimentais, 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que lhe são conferidas pelo artigo 17, alínea “a” e “j” da Lei Municipal n. 2.421/2004 e J</w:t>
      </w: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>ackson Fernando de Medeiros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, Diretor da Divisão Administrativa e Financeira do BCPREVI, nomeado por meio da Portaria n. 32.250/2025</w:t>
      </w:r>
      <w:r>
        <w:rPr/>
        <w:t xml:space="preserve">, 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expõe</w:t>
      </w: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 xml:space="preserve">: 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CONSIDERANDO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a obrigatoriedade constitucional e legal da incidência de contribuição previdenciária sobre verbas de natureza remuneratória, incluindo-se a cota patronal, nos termos da Constituição Federal (art. 149, §1º) e da legislação correlata;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CONSIDERANDO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o disposto no art. 149, § 1º, da Constituição Federal e na Lei Federal nº 9.717/1998, que impõem aos entes federativos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>i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nstituir mecanismos para arrecadação e fiscalização das contribuições previdenciárias, tanto dos servidores quanto da parte patronal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e impõe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o dever de manter o equilíbrio financeiro e atuarial dos regimes próprios de previdência social – RPPS; 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>CONSIDERANDO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que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o art. 114 da Constituição (competência da Justiça do Trabalho) e os entendimentos consolidados do STF e STJ reconhecem que verbas de natureza salarial, mesmo pagas por decisão judicial,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compõem base de cálculo da contribuição previdenciária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, incidindo inclusive sobre o ente empregador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>e que 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entendimento jurisprudencial consolidado de que os valores pagos por força de decisão judicial, com natureza salarial ou remuneratória, integram a base de cálculo da contribuição previdenciária, tanto do segurado quanto do ente empregador;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CONSIDERANDO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a necessidade de garantir o equilíbrio financeiro e atuarial do Regime Próprio de Previdência Social dos servidores públicos do Município de Balneário Camboriú-SC,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com amparo jurídico para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a regulamentação conjunta que vise assegurar esse recolhimento, inclusive por meio de instrução normativa local, editada por autoridade competente,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sempre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>respeita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>ndo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os princípios da legalidade, da competência administrativa e da hierarquia normativa.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CONSIDERANDO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que as verbas de natureza remuneratória, ainda que pagas por meio de decisão judicial, integram a base de cálculo das contribuições previdenciárias devidas pelo servidor e pelo ente público;</w:t>
      </w:r>
    </w:p>
    <w:p>
      <w:pPr>
        <w:pStyle w:val="BodyText"/>
        <w:spacing w:lineRule="auto" w:line="276" w:before="280" w:after="280"/>
        <w:jc w:val="both"/>
        <w:rPr/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CONSIDERANDO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a necessidade de estabelecer um fluxo técnico, jurídico e contábil que assegure o recolhimento da cota patronal das contribuições incidentes sobre verbas salariais pagas judicialmente, prevenindo perdas ao RPPS municipal,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servindo como referência de boas práticas de governança previdenciária e responsabilidade fiscal. </w:t>
      </w:r>
    </w:p>
    <w:p>
      <w:pPr>
        <w:pStyle w:val="BodyText"/>
        <w:spacing w:lineRule="auto" w:line="276" w:before="280" w:after="280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RESOLVE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M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:</w:t>
      </w:r>
    </w:p>
    <w:p>
      <w:pPr>
        <w:pStyle w:val="BodyText"/>
        <w:spacing w:lineRule="auto" w:line="276" w:before="280" w:after="280"/>
        <w:jc w:val="both"/>
        <w:rPr/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Art. 1º.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Expedir a presente Instrução Normativa em apoio a administração municipal nos processo que envolvam o pagamento de 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v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erbas de natureza remuneratória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a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servidores ativos, inativos e pensionistas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do Município de Balneário Camboriú-SC.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Parágrafo único. A presente norma tem por objetivo: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I – Orientar a identificação da natureza das verbas judiciais e auxiliar na verificação da incidência de contribuição previdenciária patronal, 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Apurar e assegurar o recolhimento das contribuições previdenciárias patronais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incidentes sobre valores pagos por decisão judicial;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II – 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Instituir fluxo de  apuração e controle interno que permitam o levantamento de créditos previdenciários, inclusive pretéritos, respeitado o prazo prescricional de 5 (cinco) anos;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 xml:space="preserve">III -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C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riar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mecanismos para a apuração de créditos pretéritos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>;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III – Observar as disposições da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legislação vigente aplicável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, bem como as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orientações do Tribunal de Contas do Estado de Santa Catarina – TCE/SC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,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prejulgados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,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entendimentos da Controladoria-Geral do Município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e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pareceres da Procuradoria-Geral do Município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;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IV – Estabelecer 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procedimentos próprios e obrigatórios de controle, análise e retenção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da contribuição previdenciária patronal incidente sobre valores de natureza remuneratória pagos judicialmente, com </w:t>
      </w:r>
      <w:r>
        <w:rPr>
          <w:rStyle w:val="Strong"/>
          <w:rFonts w:eastAsia="Times New Roman" w:cs="Times New Roman" w:ascii="Arial" w:hAnsi="Arial"/>
          <w:sz w:val="22"/>
          <w:szCs w:val="22"/>
          <w:lang w:eastAsia="pt-BR"/>
        </w:rPr>
        <w:t>participação prévia, técnica e vinculante do BCPREVI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>, a contar da data de publicação desta Instrução Normativa.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V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>– Subsidiar tecnicamente os órgãos da Administração com pareceres técnicos fundamentados, sem caráter vinculante, a fim de apoiar o cumprimento da legislação previdenciária aplicável;</w:t>
        <w:br/>
        <w:t xml:space="preserve">VI – Promover ações coordenadas entre o BCPREVI, a Procuradoria-Geral do Município e os setores contábil e financeiro, observadas as competências de cada órgão. </w:t>
      </w:r>
    </w:p>
    <w:p>
      <w:pPr>
        <w:pStyle w:val="NormalWeb"/>
        <w:spacing w:lineRule="auto" w:line="276" w:before="280" w:after="280"/>
        <w:jc w:val="both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>Art. 2º</w:t>
      </w: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 xml:space="preserve"> – Da Obrigatoriedade de Participação do BCPREVI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Recomenda-se que os órgãos e entidades da Administração Municipal encaminhem previamente ao BCPREVI os processos judiciais com pagamento de verbas remuneratórias, para fins de análise e cálculo da contribuição patronal, sempre que possível antes da expedição de RPV, precatório ou outro instrumento de pagamento. 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</w:t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lang w:eastAsia="pt-BR"/>
        </w:rPr>
      </w:pPr>
      <w:r>
        <w:rPr>
          <w:rFonts w:eastAsia="Times New Roman" w:cs="Times New Roman" w:ascii="Arial" w:hAnsi="Arial"/>
          <w:lang w:eastAsia="pt-BR"/>
        </w:rPr>
        <w:t>§º. Caberá ao setor responsável pelo cálculo:</w:t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lang w:eastAsia="pt-BR"/>
        </w:rPr>
      </w:pPr>
      <w:r>
        <w:rPr>
          <w:rFonts w:eastAsia="Times New Roman" w:cs="Times New Roman" w:ascii="Arial" w:hAnsi="Arial"/>
          <w:lang w:eastAsia="pt-BR"/>
        </w:rPr>
        <w:t>I – Informar, por meio de memorando oficial, os dados do processo, partes envolvidas e a planilha de cálculos;</w:t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lang w:eastAsia="pt-BR"/>
        </w:rPr>
      </w:pPr>
      <w:r>
        <w:rPr>
          <w:rFonts w:eastAsia="Times New Roman" w:cs="Times New Roman" w:ascii="Arial" w:hAnsi="Arial"/>
          <w:lang w:eastAsia="pt-BR"/>
        </w:rPr>
        <w:t>II – Identificar a natureza das verbas pagas;</w:t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lang w:eastAsia="pt-BR"/>
        </w:rPr>
      </w:pPr>
      <w:r>
        <w:rPr>
          <w:rFonts w:eastAsia="Times New Roman" w:cs="Times New Roman" w:ascii="Arial" w:hAnsi="Arial"/>
          <w:lang w:eastAsia="pt-BR"/>
        </w:rPr>
        <w:t>III – Solicitar ao BCPREVI a emissão de boletos ou guias de recolhimento da contribuição patronal, quando devida, conforme alíquota vigente à época do fato gerador.</w:t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lang w:eastAsia="pt-BR"/>
        </w:rPr>
      </w:pPr>
      <w:r>
        <w:rPr>
          <w:rFonts w:eastAsia="Times New Roman" w:cs="Times New Roman" w:ascii="Arial" w:hAnsi="Arial"/>
          <w:lang w:eastAsia="pt-BR"/>
        </w:rPr>
        <w:t>§3º. O pagamento judicial poderá ser precedido de:</w:t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lang w:eastAsia="pt-BR"/>
        </w:rPr>
      </w:pPr>
      <w:r>
        <w:rPr>
          <w:rFonts w:eastAsia="Times New Roman" w:cs="Times New Roman" w:ascii="Arial" w:hAnsi="Arial"/>
          <w:lang w:eastAsia="pt-BR"/>
        </w:rPr>
        <w:t>I – Parecer técnico emitido pelo BCPREVI quanto à natureza das verbas e à eventual incidência de contribuição patronal, com caráter opinativo e não vinculante, devendo ser avaliado pelo órgão competente;</w:t>
        <w:br/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lang w:eastAsia="pt-BR"/>
        </w:rPr>
      </w:pPr>
      <w:r>
        <w:rPr>
          <w:rFonts w:eastAsia="Times New Roman" w:cs="Times New Roman" w:ascii="Arial" w:hAnsi="Arial"/>
          <w:lang w:eastAsia="pt-BR"/>
        </w:rPr>
        <w:t>II – Emissão de guia de recolhimento ou boleto, quando aplicável;</w:t>
        <w:br/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lang w:eastAsia="pt-BR"/>
        </w:rPr>
      </w:pPr>
      <w:r>
        <w:rPr>
          <w:rFonts w:eastAsia="Times New Roman" w:cs="Times New Roman" w:ascii="Arial" w:hAnsi="Arial"/>
          <w:lang w:eastAsia="pt-BR"/>
        </w:rPr>
        <w:t>III – Recolhimento do valor devido, conforme decisão administrativa competente.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§2º. Caberá ao órgão ou setor responsável pelo cálculo do valor devido: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 – Informar, por meio de memorando oficial via sistema 1Doc, os dados do processo, partes envolvidas e planilha de cálculos;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II – Identificar a natureza das verbas pagas;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III – Solicitar a emissão do boleto bancário correspondente à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contribuição patronal devida ao BCPREVI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>, conforme alíquota vigente à época do fato gerador.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§3º. O pagamento judicial somente poderá ser realizado após: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 – Análise do BCPREVI quanto à incidência da contribuição, tendo o parecer técnico emitido pelo BCPREVI, quanto à incidência ou não da contribuição patron</w:t>
      </w:r>
      <w:r>
        <w:rPr>
          <w:rFonts w:eastAsia="Times New Roman" w:cs="Times New Roman" w:ascii="Arial" w:hAnsi="Arial"/>
          <w:i w:val="false"/>
          <w:iCs w:val="false"/>
          <w:sz w:val="22"/>
          <w:szCs w:val="22"/>
          <w:lang w:eastAsia="pt-BR"/>
        </w:rPr>
        <w:t xml:space="preserve">al, </w:t>
      </w:r>
      <w:r>
        <w:rPr>
          <w:rStyle w:val="Strong"/>
          <w:rFonts w:eastAsia="Times New Roman" w:cs="Times New Roman" w:ascii="Arial" w:hAnsi="Arial"/>
          <w:b w:val="false"/>
          <w:bCs w:val="false"/>
          <w:i w:val="false"/>
          <w:iCs w:val="false"/>
          <w:sz w:val="22"/>
          <w:szCs w:val="22"/>
          <w:lang w:eastAsia="pt-BR"/>
        </w:rPr>
        <w:t xml:space="preserve">caráter opinativo e fundamentado </w:t>
      </w:r>
      <w:r>
        <w:rPr>
          <w:rStyle w:val="Emphasis"/>
          <w:rFonts w:eastAsia="Times New Roman" w:cs="Times New Roman" w:ascii="Arial" w:hAnsi="Arial"/>
          <w:b w:val="false"/>
          <w:bCs w:val="false"/>
          <w:i w:val="false"/>
          <w:iCs w:val="false"/>
          <w:sz w:val="22"/>
          <w:szCs w:val="22"/>
          <w:lang w:eastAsia="pt-BR"/>
        </w:rPr>
        <w:t>devendo ser considerado pelos órgãos competentes para fins de verificação da incidência da contribuição patronal.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II – Emissão do boleto bancário ou guia de recolhimento referente à cota patronal;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III – Recolhimento efetivo do valor correspondente, em nome do Instituto.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 xml:space="preserve">Art. 3º </w:t>
      </w: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>– Do Dever de Recolhimento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b w:val="false"/>
          <w:bCs w:val="false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§1º. Nos termos da legislação vigente, permanece a obrigação do Município e suas autarquias de promover o recolhimento da contribuição patronal previdenciária sempre que houver pagamento de verbas de natureza remuneratória, inclusive por decisão judicial.</w:t>
      </w:r>
    </w:p>
    <w:p>
      <w:pPr>
        <w:pStyle w:val="BodyText"/>
        <w:spacing w:before="280" w:after="280"/>
        <w:jc w:val="both"/>
        <w:rPr>
          <w:rFonts w:ascii="Arial" w:hAnsi="Arial" w:eastAsia="Times New Roman" w:cs="Times New Roman"/>
          <w:b w:val="false"/>
          <w:bCs w:val="false"/>
          <w:lang w:eastAsia="pt-BR"/>
        </w:rPr>
      </w:pPr>
      <w:r>
        <w:rPr>
          <w:rFonts w:eastAsia="Times New Roman" w:cs="Times New Roman" w:ascii="Arial" w:hAnsi="Arial"/>
          <w:b w:val="false"/>
          <w:bCs w:val="false"/>
          <w:lang w:eastAsia="pt-BR"/>
        </w:rPr>
        <w:t>§2º. Eventuais omissões ou irregularidades poderão ser objeto de apuração pelas autoridades competentes, nos termos da legislação vigente, inclusive com comunicação ao Tribunal de Contas do Estado.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b/>
          <w:bCs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>Art. 4º – Da Regularização dos Casos Pretéritos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§1º. Os processos judiciais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anteriores à vigência desta Instrução Normativa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e que tenham envolvido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valores de natureza remuneratória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pagos sem o recolhimento da contribuição patronal ao BCPREVI, poderão ser objeto de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apuração interna por meio de Processo Administrativo Comum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.</w:t>
      </w:r>
    </w:p>
    <w:p>
      <w:pPr>
        <w:pStyle w:val="BodyText"/>
        <w:spacing w:lineRule="auto" w:line="276" w:before="280" w:after="280"/>
        <w:jc w:val="left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§2º. O procedimento incluirá:I – Levantamento dos processos judiciais e valores pagos;</w:t>
        <w:br/>
        <w:t>II – Verificação da incidência ou recolhimento parcial;</w:t>
        <w:br/>
        <w:t>III – Emissão de boletos ou guias de recolhimento, quando couber;</w:t>
        <w:br/>
        <w:t>IV – Solicitação formal ao Município para efetivar o repasse devido ao RPPS</w:t>
      </w:r>
    </w:p>
    <w:p>
      <w:pPr>
        <w:pStyle w:val="BodyText"/>
        <w:spacing w:lineRule="auto" w:line="276" w:before="280" w:after="280"/>
        <w:jc w:val="both"/>
        <w:rPr>
          <w:rFonts w:ascii="Times New Roman" w:hAnsi="Times New Roman" w:eastAsia="Times New Roman" w:cs="Times New Roman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§3º. O prazo para instauração dos processos administrativos internos será de até</w:t>
      </w:r>
      <w:r>
        <w:rPr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 xml:space="preserve"> 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9</w:t>
      </w: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0 (noventa) dias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 a partir da publicação desta Instrução, prorrogável por igual período mediante justificativa.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b/>
          <w:bCs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>Art. 5º – Dos Registros e Controles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§1º. O Setor Contábil do BCPREVI manterá controle mensal atualizado de: </w:t>
      </w:r>
    </w:p>
    <w:p>
      <w:pPr>
        <w:pStyle w:val="BodyText"/>
        <w:spacing w:lineRule="auto" w:line="276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 – Processos judiciais analisados;</w:t>
      </w:r>
    </w:p>
    <w:p>
      <w:pPr>
        <w:pStyle w:val="BodyText"/>
        <w:spacing w:lineRule="auto" w:line="240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II – Valores de contribuição patronal devidos e arrecadados;</w:t>
      </w:r>
    </w:p>
    <w:p>
      <w:pPr>
        <w:pStyle w:val="BodyText"/>
        <w:spacing w:lineRule="auto" w:line="240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III – Boletos emitidos e pagos;</w:t>
      </w:r>
    </w:p>
    <w:p>
      <w:pPr>
        <w:pStyle w:val="BodyText"/>
        <w:spacing w:lineRule="auto" w:line="240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IV – Pendências e omissões em aberto.</w:t>
      </w:r>
    </w:p>
    <w:p>
      <w:pPr>
        <w:pStyle w:val="BodyText"/>
        <w:spacing w:lineRule="auto" w:line="240" w:before="280" w:after="280"/>
        <w:jc w:val="both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§2º. A conferência será baseada nos documentos enviados via memorandos, anexos e boletos emitidos mensalmente conforme os relatórios das folhas de pagamento dos órgãos municipais e processos judiciais recebidos.</w:t>
      </w:r>
    </w:p>
    <w:p>
      <w:pPr>
        <w:pStyle w:val="Heading3"/>
        <w:spacing w:lineRule="auto" w:line="276" w:before="280" w:after="280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 xml:space="preserve">Art.6 </w:t>
      </w: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 xml:space="preserve">º – </w:t>
      </w: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>Disposições Finais</w:t>
      </w:r>
    </w:p>
    <w:p>
      <w:pPr>
        <w:pStyle w:val="BodyText"/>
        <w:spacing w:lineRule="auto" w:line="276" w:before="280" w:after="280"/>
        <w:jc w:val="both"/>
        <w:rPr/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§1º. Esta Instrução Normativa entra em vigor na data de sua publicação.</w:t>
      </w:r>
    </w:p>
    <w:p>
      <w:pPr>
        <w:pStyle w:val="BodyText"/>
        <w:spacing w:lineRule="auto" w:line="276" w:before="280" w:after="280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sz w:val="22"/>
          <w:szCs w:val="22"/>
          <w:lang w:eastAsia="pt-BR"/>
        </w:rPr>
        <w:t>§2º. A Diretoria Executiva do BCPREVI é competente para dirimir dúvidas ou casos omissos.</w:t>
      </w:r>
    </w:p>
    <w:p>
      <w:pPr>
        <w:pStyle w:val="BodyText"/>
        <w:spacing w:lineRule="auto" w:line="276" w:before="280" w:after="280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Style w:val="Strong"/>
          <w:rFonts w:eastAsia="Times New Roman" w:cs="Times New Roman" w:ascii="Arial" w:hAnsi="Arial"/>
          <w:b w:val="false"/>
          <w:bCs w:val="false"/>
          <w:sz w:val="22"/>
          <w:szCs w:val="22"/>
          <w:lang w:eastAsia="pt-BR"/>
        </w:rPr>
        <w:t>Balneário Camboriú-SC, 25 de julho de 2025.</w:t>
      </w:r>
    </w:p>
    <w:p>
      <w:pPr>
        <w:pStyle w:val="BodyText"/>
        <w:spacing w:lineRule="auto" w:line="276" w:before="280" w:after="280"/>
        <w:rPr>
          <w:rStyle w:val="Strong"/>
          <w:rFonts w:ascii="Arial" w:hAnsi="Arial"/>
          <w:sz w:val="22"/>
          <w:szCs w:val="22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BodyText"/>
        <w:spacing w:lineRule="auto" w:line="276" w:before="280" w:after="280"/>
        <w:rPr>
          <w:rFonts w:ascii="Arial" w:hAnsi="Arial" w:eastAsia="Times New Roman" w:cs="Times New Roman"/>
          <w:sz w:val="22"/>
          <w:szCs w:val="22"/>
          <w:lang w:eastAsia="pt-BR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 xml:space="preserve">João Olindino Koeddermann 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br/>
        <w:t>Diretor-Presidente do BCPREVI</w:t>
        <w:br/>
      </w:r>
    </w:p>
    <w:p>
      <w:pPr>
        <w:pStyle w:val="BodyText"/>
        <w:spacing w:lineRule="auto" w:line="276" w:before="280" w:after="280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b/>
          <w:bCs/>
          <w:sz w:val="22"/>
          <w:szCs w:val="22"/>
          <w:lang w:eastAsia="pt-BR"/>
        </w:rPr>
        <w:t>Jackson Fernando de Medeiros</w:t>
      </w:r>
      <w:r>
        <w:rPr>
          <w:rFonts w:eastAsia="Times New Roman" w:cs="Times New Roman" w:ascii="Arial" w:hAnsi="Arial"/>
          <w:sz w:val="22"/>
          <w:szCs w:val="22"/>
          <w:lang w:eastAsia="pt-BR"/>
        </w:rPr>
        <w:br/>
        <w:t>Diretor da Divisão Administrativa e Financeira – BCPREVI</w:t>
      </w:r>
    </w:p>
    <w:sectPr>
      <w:headerReference w:type="default" r:id="rId2"/>
      <w:type w:val="nextPage"/>
      <w:pgSz w:w="11906" w:h="16838"/>
      <w:pgMar w:left="1155" w:right="1136" w:gutter="0" w:header="360" w:top="1890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  <w:font w:name="Arial MT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ntedodoquadro"/>
      <w:spacing w:lineRule="auto" w:line="240" w:before="14" w:after="160"/>
      <w:ind w:hanging="0" w:right="2269"/>
      <w:rPr>
        <w:rFonts w:ascii="Arial MT" w:hAnsi="Arial MT"/>
        <w:b/>
        <w:bCs/>
        <w:sz w:val="16"/>
        <w:szCs w:val="16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3390900</wp:posOffset>
          </wp:positionH>
          <wp:positionV relativeFrom="paragraph">
            <wp:posOffset>-29210</wp:posOffset>
          </wp:positionV>
          <wp:extent cx="628015" cy="82169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821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4094480</wp:posOffset>
          </wp:positionH>
          <wp:positionV relativeFrom="paragraph">
            <wp:posOffset>-5715</wp:posOffset>
          </wp:positionV>
          <wp:extent cx="2092960" cy="798830"/>
          <wp:effectExtent l="0" t="0" r="0" b="0"/>
          <wp:wrapNone/>
          <wp:docPr id="2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92960" cy="798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MT" w:hAnsi="Arial MT"/>
        <w:b/>
        <w:bCs/>
        <w:color w:val="000000"/>
        <w:sz w:val="16"/>
        <w:szCs w:val="16"/>
      </w:rPr>
      <w:t xml:space="preserve">ESTADO DE SANTA CATARINA </w:t>
    </w:r>
  </w:p>
  <w:p>
    <w:pPr>
      <w:pStyle w:val="Contedodoquadro"/>
      <w:spacing w:lineRule="auto" w:line="240" w:before="14" w:after="160"/>
      <w:ind w:hanging="0" w:right="2269"/>
      <w:rPr>
        <w:rFonts w:ascii="Arial MT" w:hAnsi="Arial MT"/>
        <w:b/>
        <w:bCs/>
        <w:sz w:val="16"/>
        <w:szCs w:val="16"/>
      </w:rPr>
    </w:pPr>
    <w:r>
      <w:rPr>
        <w:rFonts w:ascii="Arial MT" w:hAnsi="Arial MT"/>
        <w:b/>
        <w:bCs/>
        <w:color w:val="000000"/>
        <w:sz w:val="16"/>
        <w:szCs w:val="16"/>
      </w:rPr>
      <w:t>MUNICÍPIO</w:t>
    </w:r>
    <w:r>
      <w:rPr>
        <w:rFonts w:ascii="Arial MT" w:hAnsi="Arial MT"/>
        <w:b/>
        <w:bCs/>
        <w:color w:val="000000"/>
        <w:spacing w:val="-13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DE</w:t>
    </w:r>
    <w:r>
      <w:rPr>
        <w:rFonts w:ascii="Arial MT" w:hAnsi="Arial MT"/>
        <w:b/>
        <w:bCs/>
        <w:color w:val="000000"/>
        <w:spacing w:val="-12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BALNEÁRIO</w:t>
    </w:r>
    <w:r>
      <w:rPr>
        <w:rFonts w:ascii="Arial MT" w:hAnsi="Arial MT"/>
        <w:b/>
        <w:bCs/>
        <w:color w:val="000000"/>
        <w:spacing w:val="-13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CAMBORIÚ</w:t>
    </w:r>
  </w:p>
  <w:p>
    <w:pPr>
      <w:pStyle w:val="Contedodoquadro"/>
      <w:spacing w:lineRule="auto" w:line="240"/>
      <w:rPr>
        <w:rFonts w:ascii="Arial MT" w:hAnsi="Arial MT"/>
        <w:b/>
        <w:bCs/>
        <w:sz w:val="16"/>
        <w:szCs w:val="16"/>
      </w:rPr>
    </w:pPr>
    <w:r>
      <w:rPr>
        <w:rFonts w:ascii="Arial MT" w:hAnsi="Arial MT"/>
        <w:b/>
        <w:bCs/>
        <w:color w:val="000000"/>
        <w:sz w:val="16"/>
        <w:szCs w:val="16"/>
      </w:rPr>
      <w:t>INSTITUTO</w:t>
    </w:r>
    <w:r>
      <w:rPr>
        <w:rFonts w:ascii="Arial MT" w:hAnsi="Arial MT"/>
        <w:b/>
        <w:bCs/>
        <w:color w:val="000000"/>
        <w:spacing w:val="-13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DE</w:t>
    </w:r>
    <w:r>
      <w:rPr>
        <w:rFonts w:ascii="Arial MT" w:hAnsi="Arial MT"/>
        <w:b/>
        <w:bCs/>
        <w:color w:val="000000"/>
        <w:spacing w:val="-9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 xml:space="preserve">PREVIDÊNCIA </w:t>
    </w:r>
    <w:r>
      <w:rPr>
        <w:rFonts w:ascii="Arial MT" w:hAnsi="Arial MT"/>
        <w:b/>
        <w:bCs/>
        <w:color w:val="000000"/>
        <w:spacing w:val="-12"/>
        <w:sz w:val="16"/>
        <w:szCs w:val="16"/>
      </w:rPr>
      <w:t xml:space="preserve"> SOCIAL </w:t>
    </w:r>
    <w:r>
      <w:rPr>
        <w:rFonts w:ascii="Arial MT" w:hAnsi="Arial MT"/>
        <w:b/>
        <w:bCs/>
        <w:color w:val="000000"/>
        <w:sz w:val="16"/>
        <w:szCs w:val="16"/>
      </w:rPr>
      <w:t>DOS</w:t>
    </w:r>
    <w:r>
      <w:rPr>
        <w:rFonts w:ascii="Arial MT" w:hAnsi="Arial MT"/>
        <w:b/>
        <w:bCs/>
        <w:color w:val="000000"/>
        <w:spacing w:val="-8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SERVIDORES</w:t>
    </w:r>
    <w:r>
      <w:rPr>
        <w:rFonts w:ascii="Arial MT" w:hAnsi="Arial MT"/>
        <w:b/>
        <w:bCs/>
        <w:color w:val="000000"/>
        <w:spacing w:val="-8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pacing w:val="-2"/>
        <w:sz w:val="16"/>
        <w:szCs w:val="16"/>
      </w:rPr>
      <w:t>PÚBLICOS</w:t>
    </w:r>
  </w:p>
  <w:p>
    <w:pPr>
      <w:pStyle w:val="Contedodoquadro"/>
      <w:spacing w:lineRule="auto" w:line="240" w:before="0" w:after="160"/>
      <w:rPr>
        <w:rFonts w:ascii="Arial MT" w:hAnsi="Arial MT"/>
        <w:b/>
        <w:bCs/>
        <w:sz w:val="16"/>
        <w:szCs w:val="16"/>
      </w:rPr>
    </w:pPr>
    <w:r>
      <w:rPr>
        <w:rFonts w:ascii="Arial MT" w:hAnsi="Arial MT"/>
        <w:b/>
        <w:bCs/>
        <w:color w:val="000000"/>
        <w:sz w:val="16"/>
        <w:szCs w:val="16"/>
      </w:rPr>
      <w:t>DO</w:t>
    </w:r>
    <w:r>
      <w:rPr>
        <w:rFonts w:ascii="Arial MT" w:hAnsi="Arial MT"/>
        <w:b/>
        <w:bCs/>
        <w:color w:val="000000"/>
        <w:spacing w:val="-6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MUNICÍPIO</w:t>
    </w:r>
    <w:r>
      <w:rPr>
        <w:rFonts w:ascii="Arial MT" w:hAnsi="Arial MT"/>
        <w:b/>
        <w:bCs/>
        <w:color w:val="000000"/>
        <w:spacing w:val="-5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DE</w:t>
    </w:r>
    <w:r>
      <w:rPr>
        <w:rFonts w:ascii="Arial MT" w:hAnsi="Arial MT"/>
        <w:b/>
        <w:bCs/>
        <w:color w:val="000000"/>
        <w:spacing w:val="-5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BALNEÁRIO</w:t>
    </w:r>
    <w:r>
      <w:rPr>
        <w:rFonts w:ascii="Arial MT" w:hAnsi="Arial MT"/>
        <w:b/>
        <w:bCs/>
        <w:color w:val="000000"/>
        <w:spacing w:val="-5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CAMBORIÚ</w:t>
    </w:r>
    <w:r>
      <w:rPr>
        <w:rFonts w:ascii="Arial MT" w:hAnsi="Arial MT"/>
        <w:b/>
        <w:bCs/>
        <w:color w:val="000000"/>
        <w:spacing w:val="-5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z w:val="16"/>
        <w:szCs w:val="16"/>
      </w:rPr>
      <w:t>-</w:t>
    </w:r>
    <w:r>
      <w:rPr>
        <w:rFonts w:ascii="Arial MT" w:hAnsi="Arial MT"/>
        <w:b/>
        <w:bCs/>
        <w:color w:val="000000"/>
        <w:spacing w:val="-5"/>
        <w:sz w:val="16"/>
        <w:szCs w:val="16"/>
      </w:rPr>
      <w:t xml:space="preserve"> </w:t>
    </w:r>
    <w:r>
      <w:rPr>
        <w:rFonts w:ascii="Arial MT" w:hAnsi="Arial MT"/>
        <w:b/>
        <w:bCs/>
        <w:color w:val="000000"/>
        <w:spacing w:val="-2"/>
        <w:sz w:val="16"/>
        <w:szCs w:val="16"/>
      </w:rPr>
      <w:t>BCPREVI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fa7e4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Linhahorizontal">
    <w:name w:val="Linha horizont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Blocodecitao">
    <w:name w:val="Bloco de citação"/>
    <w:basedOn w:val="Normal"/>
    <w:qFormat/>
    <w:pPr>
      <w:spacing w:before="0" w:after="283"/>
      <w:ind w:hanging="0" w:left="567" w:right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07" w:leader="none"/>
        <w:tab w:val="right" w:pos="9615" w:leader="none"/>
      </w:tabs>
    </w:pPr>
    <w:rPr/>
  </w:style>
  <w:style w:type="paragraph" w:styleId="Header">
    <w:name w:val="header"/>
    <w:basedOn w:val="Cabealhoerodap"/>
    <w:pPr>
      <w:suppressLineNumbers/>
    </w:pPr>
    <w:rPr/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Application>LibreOffice/25.2.4.3$Windows_X86_64 LibreOffice_project/33e196637044ead23f5c3226cde09b47731f7e27</Application>
  <AppVersion>15.0000</AppVersion>
  <Pages>4</Pages>
  <Words>1283</Words>
  <Characters>7811</Characters>
  <CharactersWithSpaces>9084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2025-07-22T13:55:00Z</dcterms:created>
  <dc:creator>Conta da Microsoft</dc:creator>
  <dc:description/>
  <dc:language>pt-BR</dc:language>
  <cp:lastModifiedBy/>
  <dcterms:modified xsi:type="dcterms:W3CDTF">2025-07-25T13:51:42Z</dcterms:modified>
  <cp:revision>92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